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AAE" w14:textId="77777777" w:rsidR="00EF1F11" w:rsidRPr="00EF1F11" w:rsidRDefault="00EF1F11" w:rsidP="00EF1F11">
      <w:pPr>
        <w:shd w:val="clear" w:color="auto" w:fill="FFFFFF"/>
        <w:spacing w:before="225" w:after="225" w:line="240" w:lineRule="auto"/>
        <w:outlineLvl w:val="0"/>
        <w:rPr>
          <w:rFonts w:ascii="Lato" w:eastAsia="Times New Roman" w:hAnsi="Lato" w:cs="Times New Roman"/>
          <w:color w:val="666666"/>
          <w:kern w:val="36"/>
          <w:sz w:val="36"/>
          <w:szCs w:val="36"/>
          <w14:ligatures w14:val="none"/>
        </w:rPr>
      </w:pPr>
      <w:r w:rsidRPr="00EF1F11">
        <w:rPr>
          <w:rFonts w:ascii="Lato" w:eastAsia="Times New Roman" w:hAnsi="Lato" w:cs="Times New Roman"/>
          <w:color w:val="666666"/>
          <w:kern w:val="36"/>
          <w:sz w:val="36"/>
          <w:szCs w:val="36"/>
          <w14:ligatures w14:val="none"/>
        </w:rPr>
        <w:t xml:space="preserve">Module 3: Additional Resource: How to write a reflective </w:t>
      </w:r>
      <w:proofErr w:type="gramStart"/>
      <w:r w:rsidRPr="00EF1F11">
        <w:rPr>
          <w:rFonts w:ascii="Lato" w:eastAsia="Times New Roman" w:hAnsi="Lato" w:cs="Times New Roman"/>
          <w:color w:val="666666"/>
          <w:kern w:val="36"/>
          <w:sz w:val="36"/>
          <w:szCs w:val="36"/>
          <w14:ligatures w14:val="none"/>
        </w:rPr>
        <w:t>essay</w:t>
      </w:r>
      <w:proofErr w:type="gramEnd"/>
    </w:p>
    <w:p w14:paraId="1A5CE276" w14:textId="77777777" w:rsidR="00EF1F11" w:rsidRPr="00EF1F11" w:rsidRDefault="00EF1F11" w:rsidP="00EF1F11">
      <w:pPr>
        <w:shd w:val="clear" w:color="auto" w:fill="FFFFFF"/>
        <w:spacing w:after="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Writing a reflective essay is a deeply personal process that will help you to develop new insights into your learning. If you want to improve your reflective essay writing skills, I encourage you to review </w:t>
      </w:r>
      <w:hyperlink r:id="rId4" w:tgtFrame="_blank" w:tooltip="Link" w:history="1">
        <w:r w:rsidRPr="00EF1F11">
          <w:rPr>
            <w:rFonts w:ascii="Lato" w:eastAsia="Times New Roman" w:hAnsi="Lato" w:cs="Times New Roman"/>
            <w:color w:val="0000FF"/>
            <w:kern w:val="0"/>
            <w:sz w:val="24"/>
            <w:szCs w:val="24"/>
            <w:u w:val="single"/>
            <w14:ligatures w14:val="none"/>
          </w:rPr>
          <w:t xml:space="preserve">A complete guide to writing a reflective </w:t>
        </w:r>
        <w:proofErr w:type="spellStart"/>
        <w:r w:rsidRPr="00EF1F11">
          <w:rPr>
            <w:rFonts w:ascii="Lato" w:eastAsia="Times New Roman" w:hAnsi="Lato" w:cs="Times New Roman"/>
            <w:color w:val="0000FF"/>
            <w:kern w:val="0"/>
            <w:sz w:val="24"/>
            <w:szCs w:val="24"/>
            <w:u w:val="single"/>
            <w14:ligatures w14:val="none"/>
          </w:rPr>
          <w:t>essay</w:t>
        </w:r>
        <w:r w:rsidRPr="00EF1F11">
          <w:rPr>
            <w:rFonts w:ascii="Lato" w:eastAsia="Times New Roman" w:hAnsi="Lato" w:cs="Times New Roman"/>
            <w:color w:val="0000FF"/>
            <w:kern w:val="0"/>
            <w:sz w:val="24"/>
            <w:szCs w:val="24"/>
            <w:u w:val="single"/>
            <w:bdr w:val="none" w:sz="0" w:space="0" w:color="auto" w:frame="1"/>
            <w14:ligatures w14:val="none"/>
          </w:rPr>
          <w:t>Links</w:t>
        </w:r>
        <w:proofErr w:type="spellEnd"/>
        <w:r w:rsidRPr="00EF1F11">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EF1F11">
        <w:rPr>
          <w:rFonts w:ascii="Lato" w:eastAsia="Times New Roman" w:hAnsi="Lato" w:cs="Times New Roman"/>
          <w:color w:val="2D3B45"/>
          <w:kern w:val="0"/>
          <w:sz w:val="24"/>
          <w:szCs w:val="24"/>
          <w14:ligatures w14:val="none"/>
        </w:rPr>
        <w:t xml:space="preserve"> blog by </w:t>
      </w:r>
      <w:proofErr w:type="spellStart"/>
      <w:r w:rsidRPr="00EF1F11">
        <w:rPr>
          <w:rFonts w:ascii="Lato" w:eastAsia="Times New Roman" w:hAnsi="Lato" w:cs="Times New Roman"/>
          <w:color w:val="2D3B45"/>
          <w:kern w:val="0"/>
          <w:sz w:val="24"/>
          <w:szCs w:val="24"/>
          <w14:ligatures w14:val="none"/>
        </w:rPr>
        <w:t>OxbridgeEssays</w:t>
      </w:r>
      <w:proofErr w:type="spellEnd"/>
      <w:r w:rsidRPr="00EF1F11">
        <w:rPr>
          <w:rFonts w:ascii="Lato" w:eastAsia="Times New Roman" w:hAnsi="Lato" w:cs="Times New Roman"/>
          <w:color w:val="2D3B45"/>
          <w:kern w:val="0"/>
          <w:sz w:val="24"/>
          <w:szCs w:val="24"/>
          <w14:ligatures w14:val="none"/>
        </w:rPr>
        <w:t xml:space="preserve"> which provides an example outline for developing your essay and helpful tips.</w:t>
      </w:r>
    </w:p>
    <w:p w14:paraId="786875E5" w14:textId="77777777" w:rsidR="00EF1F11" w:rsidRPr="00EF1F11" w:rsidRDefault="00EF1F11" w:rsidP="00EF1F11">
      <w:pPr>
        <w:shd w:val="clear" w:color="auto" w:fill="FFFFFF"/>
        <w:spacing w:after="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For this class, your reflective essays will be longer (500 words) than</w:t>
      </w:r>
      <w:hyperlink r:id="rId5" w:tgtFrame="_blank" w:tooltip="Link" w:history="1">
        <w:r w:rsidRPr="00EF1F11">
          <w:rPr>
            <w:rFonts w:ascii="Lato" w:eastAsia="Times New Roman" w:hAnsi="Lato" w:cs="Times New Roman"/>
            <w:color w:val="0000FF"/>
            <w:kern w:val="0"/>
            <w:sz w:val="24"/>
            <w:szCs w:val="24"/>
            <w:u w:val="single"/>
            <w14:ligatures w14:val="none"/>
          </w:rPr>
          <w:t xml:space="preserve"> the example essay they </w:t>
        </w:r>
        <w:proofErr w:type="spellStart"/>
        <w:r w:rsidRPr="00EF1F11">
          <w:rPr>
            <w:rFonts w:ascii="Lato" w:eastAsia="Times New Roman" w:hAnsi="Lato" w:cs="Times New Roman"/>
            <w:color w:val="0000FF"/>
            <w:kern w:val="0"/>
            <w:sz w:val="24"/>
            <w:szCs w:val="24"/>
            <w:u w:val="single"/>
            <w14:ligatures w14:val="none"/>
          </w:rPr>
          <w:t>provide</w:t>
        </w:r>
        <w:r w:rsidRPr="00EF1F11">
          <w:rPr>
            <w:rFonts w:ascii="Lato" w:eastAsia="Times New Roman" w:hAnsi="Lato" w:cs="Times New Roman"/>
            <w:color w:val="0000FF"/>
            <w:kern w:val="0"/>
            <w:sz w:val="24"/>
            <w:szCs w:val="24"/>
            <w:u w:val="single"/>
            <w:bdr w:val="none" w:sz="0" w:space="0" w:color="auto" w:frame="1"/>
            <w14:ligatures w14:val="none"/>
          </w:rPr>
          <w:t>Links</w:t>
        </w:r>
        <w:proofErr w:type="spellEnd"/>
        <w:r w:rsidRPr="00EF1F11">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EF1F11">
        <w:rPr>
          <w:rFonts w:ascii="Lato" w:eastAsia="Times New Roman" w:hAnsi="Lato" w:cs="Times New Roman"/>
          <w:color w:val="2D3B45"/>
          <w:kern w:val="0"/>
          <w:sz w:val="24"/>
          <w:szCs w:val="24"/>
          <w14:ligatures w14:val="none"/>
        </w:rPr>
        <w:t>. Below is an example of a 295-word essay that was built from their sample essay. In the Sample Essay you can observe the connections made to literature about the topic and the reflection. The references are cited using APA style and a full reference is listed below. This essay highlights insights from perceived missteps. Be aware that you can also draw lessons from your successes.</w:t>
      </w:r>
    </w:p>
    <w:p w14:paraId="5A7FD8C3" w14:textId="77777777" w:rsidR="00EF1F11" w:rsidRPr="00EF1F11" w:rsidRDefault="00EF1F11" w:rsidP="00EF1F11">
      <w:pPr>
        <w:spacing w:before="300" w:after="300" w:line="240" w:lineRule="auto"/>
        <w:rPr>
          <w:rFonts w:ascii="Times New Roman" w:eastAsia="Times New Roman" w:hAnsi="Times New Roman" w:cs="Times New Roman"/>
          <w:kern w:val="0"/>
          <w:sz w:val="24"/>
          <w:szCs w:val="24"/>
          <w14:ligatures w14:val="none"/>
        </w:rPr>
      </w:pPr>
      <w:r w:rsidRPr="00EF1F11">
        <w:rPr>
          <w:rFonts w:ascii="Times New Roman" w:eastAsia="Times New Roman" w:hAnsi="Times New Roman" w:cs="Times New Roman"/>
          <w:kern w:val="0"/>
          <w:sz w:val="24"/>
          <w:szCs w:val="24"/>
          <w14:ligatures w14:val="none"/>
        </w:rPr>
        <w:pict w14:anchorId="2A4CF04C">
          <v:rect id="_x0000_i1025" style="width:0;height:1.5pt" o:hralign="center" o:hrstd="t" o:hrnoshade="t" o:hr="t" fillcolor="#2d3b45" stroked="f"/>
        </w:pict>
      </w:r>
    </w:p>
    <w:p w14:paraId="75AB935E" w14:textId="77777777" w:rsidR="00EF1F11" w:rsidRPr="00EF1F11" w:rsidRDefault="00EF1F11" w:rsidP="00EF1F11">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EF1F11">
        <w:rPr>
          <w:rFonts w:ascii="Lato" w:eastAsia="Times New Roman" w:hAnsi="Lato" w:cs="Times New Roman"/>
          <w:color w:val="2D3B45"/>
          <w:kern w:val="0"/>
          <w:sz w:val="43"/>
          <w:szCs w:val="43"/>
          <w14:ligatures w14:val="none"/>
        </w:rPr>
        <w:t>Sample Reflective Essay</w:t>
      </w:r>
    </w:p>
    <w:p w14:paraId="524177E1" w14:textId="77777777" w:rsidR="00EF1F11" w:rsidRPr="00EF1F11" w:rsidRDefault="00EF1F11" w:rsidP="00EF1F11">
      <w:pPr>
        <w:shd w:val="clear" w:color="auto" w:fill="FFFFFF"/>
        <w:spacing w:before="180" w:after="18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       Fieldwork is an integral part of conducting research and my first-hand experience provided valuable insights. While the journey was generally enjoyable, I made mistakes that served as lessons for future endeavors. Conducting fieldwork in Rwanda, I realized the importance of incorporating primary research data into my study. However, due to a lack of available data on my topic, I utilized methodological triangulation, incorporating other sources of qualitative data to validate my findings, as suggested by Denzin (1970).</w:t>
      </w:r>
    </w:p>
    <w:p w14:paraId="34A0E0F5" w14:textId="77777777" w:rsidR="00EF1F11" w:rsidRPr="00EF1F11" w:rsidRDefault="00EF1F11" w:rsidP="00EF1F11">
      <w:pPr>
        <w:shd w:val="clear" w:color="auto" w:fill="FFFFFF"/>
        <w:spacing w:before="180" w:after="18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       To investigate the impact of urban policies on marginalized slum dwellers, I targeted two interviewee groups: government officials and slum dwellers. Elite interviews with government officials were semi-structured, utilizing open- and closed-ended questions. Scholars like Harvey (2011) advocate for this approach as it maximizes response rates and allows elites to articulate their views coherently. While I did not always have formal questions prepared, my familiarity with the topic enabled me to develop a natural rapport with respondents. Interview times varied, and some respondents offered data sets for consultation, although accessing desired data proved challenging.</w:t>
      </w:r>
    </w:p>
    <w:p w14:paraId="1AE2F843" w14:textId="77777777" w:rsidR="00EF1F11" w:rsidRPr="00EF1F11" w:rsidRDefault="00EF1F11" w:rsidP="00EF1F11">
      <w:pPr>
        <w:shd w:val="clear" w:color="auto" w:fill="FFFFFF"/>
        <w:spacing w:before="180" w:after="18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      Building trust with slum dwellers was crucial, and my continuous presence at the research site fostered familiarity and participation. Hiring a local research assistant also enhanced my legitimacy in the eyes of potential respondents. While the data collection process was occasionally stressful and precarious, I learned resilience and how to maintain focus on meeting objectives. In hindsight, I should have changed my approach earlier, allocated less emphasis to the elite sample group, and prioritized data acquisition from secondary sources. Employing a local researcher earlier and providing more training would have improved the process.</w:t>
      </w:r>
    </w:p>
    <w:p w14:paraId="105AF357" w14:textId="77777777" w:rsidR="00EF1F11" w:rsidRPr="00EF1F11" w:rsidRDefault="00EF1F11" w:rsidP="00EF1F11">
      <w:pPr>
        <w:shd w:val="clear" w:color="auto" w:fill="FFFFFF"/>
        <w:spacing w:before="180" w:after="18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lastRenderedPageBreak/>
        <w:t xml:space="preserve">       Overall, my fieldwork project taught me the significance of adaptability, perseverance, and effective planning. These lessons </w:t>
      </w:r>
      <w:proofErr w:type="gramStart"/>
      <w:r w:rsidRPr="00EF1F11">
        <w:rPr>
          <w:rFonts w:ascii="Lato" w:eastAsia="Times New Roman" w:hAnsi="Lato" w:cs="Times New Roman"/>
          <w:color w:val="2D3B45"/>
          <w:kern w:val="0"/>
          <w:sz w:val="24"/>
          <w:szCs w:val="24"/>
          <w14:ligatures w14:val="none"/>
        </w:rPr>
        <w:t>will  inform</w:t>
      </w:r>
      <w:proofErr w:type="gramEnd"/>
      <w:r w:rsidRPr="00EF1F11">
        <w:rPr>
          <w:rFonts w:ascii="Lato" w:eastAsia="Times New Roman" w:hAnsi="Lato" w:cs="Times New Roman"/>
          <w:color w:val="2D3B45"/>
          <w:kern w:val="0"/>
          <w:sz w:val="24"/>
          <w:szCs w:val="24"/>
          <w14:ligatures w14:val="none"/>
        </w:rPr>
        <w:t xml:space="preserve"> my future research endeavors and contribute to my overall growth as a researcher.</w:t>
      </w:r>
    </w:p>
    <w:p w14:paraId="0C3611A6" w14:textId="77777777" w:rsidR="00EF1F11" w:rsidRPr="00EF1F11" w:rsidRDefault="00EF1F11" w:rsidP="00EF1F11">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EF1F11">
        <w:rPr>
          <w:rFonts w:ascii="Lato" w:eastAsia="Times New Roman" w:hAnsi="Lato" w:cs="Times New Roman"/>
          <w:color w:val="2D3B45"/>
          <w:kern w:val="0"/>
          <w:sz w:val="43"/>
          <w:szCs w:val="43"/>
          <w14:ligatures w14:val="none"/>
        </w:rPr>
        <w:t>References</w:t>
      </w:r>
    </w:p>
    <w:p w14:paraId="114FB3E5" w14:textId="77777777" w:rsidR="00EF1F11" w:rsidRPr="00EF1F11" w:rsidRDefault="00EF1F11" w:rsidP="00EF1F11">
      <w:pPr>
        <w:shd w:val="clear" w:color="auto" w:fill="FFFFFF"/>
        <w:spacing w:before="180" w:after="18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Denzin, N., 1970. </w:t>
      </w:r>
      <w:r w:rsidRPr="00EF1F11">
        <w:rPr>
          <w:rFonts w:ascii="Lato" w:eastAsia="Times New Roman" w:hAnsi="Lato" w:cs="Times New Roman"/>
          <w:i/>
          <w:iCs/>
          <w:color w:val="2D3B45"/>
          <w:kern w:val="0"/>
          <w:sz w:val="24"/>
          <w:szCs w:val="24"/>
          <w14:ligatures w14:val="none"/>
        </w:rPr>
        <w:t>The Research Act in Sociology</w:t>
      </w:r>
      <w:r w:rsidRPr="00EF1F11">
        <w:rPr>
          <w:rFonts w:ascii="Lato" w:eastAsia="Times New Roman" w:hAnsi="Lato" w:cs="Times New Roman"/>
          <w:color w:val="2D3B45"/>
          <w:kern w:val="0"/>
          <w:sz w:val="24"/>
          <w:szCs w:val="24"/>
          <w14:ligatures w14:val="none"/>
        </w:rPr>
        <w:t>, Chicago: Aldine.</w:t>
      </w:r>
    </w:p>
    <w:p w14:paraId="39B52093" w14:textId="77777777" w:rsidR="00EF1F11" w:rsidRPr="00EF1F11" w:rsidRDefault="00EF1F11" w:rsidP="00EF1F11">
      <w:pPr>
        <w:shd w:val="clear" w:color="auto" w:fill="FFFFFF"/>
        <w:spacing w:after="0" w:line="240" w:lineRule="auto"/>
        <w:rPr>
          <w:rFonts w:ascii="Lato" w:eastAsia="Times New Roman" w:hAnsi="Lato" w:cs="Times New Roman"/>
          <w:color w:val="2D3B45"/>
          <w:kern w:val="0"/>
          <w:sz w:val="24"/>
          <w:szCs w:val="24"/>
          <w14:ligatures w14:val="none"/>
        </w:rPr>
      </w:pPr>
      <w:r w:rsidRPr="00EF1F11">
        <w:rPr>
          <w:rFonts w:ascii="Lato" w:eastAsia="Times New Roman" w:hAnsi="Lato" w:cs="Times New Roman"/>
          <w:color w:val="2D3B45"/>
          <w:kern w:val="0"/>
          <w:sz w:val="24"/>
          <w:szCs w:val="24"/>
          <w14:ligatures w14:val="none"/>
        </w:rPr>
        <w:t>Harvey, W.S., 2011. Strategies for conducting elite interviews. </w:t>
      </w:r>
      <w:r w:rsidRPr="00EF1F11">
        <w:rPr>
          <w:rFonts w:ascii="Lato" w:eastAsia="Times New Roman" w:hAnsi="Lato" w:cs="Times New Roman"/>
          <w:i/>
          <w:iCs/>
          <w:color w:val="2D3B45"/>
          <w:kern w:val="0"/>
          <w:sz w:val="24"/>
          <w:szCs w:val="24"/>
          <w14:ligatures w14:val="none"/>
        </w:rPr>
        <w:t>Qualitative Researc</w:t>
      </w:r>
      <w:r w:rsidRPr="00EF1F11">
        <w:rPr>
          <w:rFonts w:ascii="Lato" w:eastAsia="Times New Roman" w:hAnsi="Lato" w:cs="Times New Roman"/>
          <w:color w:val="2D3B45"/>
          <w:kern w:val="0"/>
          <w:sz w:val="24"/>
          <w:szCs w:val="24"/>
          <w14:ligatures w14:val="none"/>
        </w:rPr>
        <w:t>h, 11(4), pp. 431– 441. Available at: </w:t>
      </w:r>
      <w:hyperlink r:id="rId6" w:tgtFrame="_blank" w:history="1">
        <w:r w:rsidRPr="00EF1F11">
          <w:rPr>
            <w:rFonts w:ascii="Lato" w:eastAsia="Times New Roman" w:hAnsi="Lato" w:cs="Times New Roman"/>
            <w:color w:val="0000FF"/>
            <w:kern w:val="0"/>
            <w:sz w:val="24"/>
            <w:szCs w:val="24"/>
            <w:u w:val="single"/>
            <w14:ligatures w14:val="none"/>
          </w:rPr>
          <w:t>http://qrj.sagepub.com/content/11/4/431.abstract</w:t>
        </w:r>
        <w:r w:rsidRPr="00EF1F11">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EF1F11">
        <w:rPr>
          <w:rFonts w:ascii="Lato" w:eastAsia="Times New Roman" w:hAnsi="Lato" w:cs="Times New Roman"/>
          <w:color w:val="2D3B45"/>
          <w:kern w:val="0"/>
          <w:sz w:val="24"/>
          <w:szCs w:val="24"/>
          <w14:ligatures w14:val="none"/>
        </w:rPr>
        <w:t> [Accessed January 20, 2024].</w:t>
      </w:r>
    </w:p>
    <w:p w14:paraId="0B84BB5E" w14:textId="77777777" w:rsidR="00D7120F" w:rsidRDefault="00D7120F"/>
    <w:sectPr w:rsidR="00D7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11"/>
    <w:rsid w:val="000F7A7E"/>
    <w:rsid w:val="00280311"/>
    <w:rsid w:val="00D02712"/>
    <w:rsid w:val="00D7120F"/>
    <w:rsid w:val="00EF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F096"/>
  <w15:chartTrackingRefBased/>
  <w15:docId w15:val="{0B23E921-2032-40C8-9F02-EC0C1353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rj.sagepub.com/content/11/4/431.abstract" TargetMode="External"/><Relationship Id="rId5" Type="http://schemas.openxmlformats.org/officeDocument/2006/relationships/hyperlink" Target="https://www.oxbridgeessays.com/blog/example-reflective-essay/" TargetMode="External"/><Relationship Id="rId4" Type="http://schemas.openxmlformats.org/officeDocument/2006/relationships/hyperlink" Target="https://www.oxbridgeessays.com/blog/complete-guide-to-writing-a-reflective-e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Koch</dc:creator>
  <cp:keywords/>
  <dc:description/>
  <cp:lastModifiedBy>Virginia Koch</cp:lastModifiedBy>
  <cp:revision>1</cp:revision>
  <dcterms:created xsi:type="dcterms:W3CDTF">2024-01-23T20:34:00Z</dcterms:created>
  <dcterms:modified xsi:type="dcterms:W3CDTF">2024-01-23T20:35:00Z</dcterms:modified>
</cp:coreProperties>
</file>